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jc w:val="right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Приложение №2</w:t>
      </w:r>
      <w:r>
        <w:rPr>
          <w:rFonts w:eastAsia="Times New Roman" w:cs="Times New Roman" w:ascii="Times New Roman" w:hAnsi="Times New Roman"/>
          <w:bCs/>
          <w:color w:val="000000"/>
          <w:lang w:eastAsia="ru-RU"/>
        </w:rPr>
        <w:t xml:space="preserve"> </w:t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ru-RU"/>
        </w:rPr>
        <w:t>к Инструкции по обращению с отходами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Требования к обращению с отходами в филиале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1. Объект негативного воздействия на окружающую среду: ГЭС (код объекта: </w:t>
      </w:r>
      <w:r>
        <w:rPr>
          <w:rStyle w:val="IntenseEmphasis"/>
          <w:rFonts w:eastAsia="Calibri" w:cs="Times New Roman" w:ascii="Times New Roman" w:hAnsi="Times New Roman"/>
          <w:b/>
          <w:bCs/>
          <w:i w:val="false"/>
          <w:color w:val="auto"/>
          <w:kern w:val="0"/>
          <w:sz w:val="24"/>
          <w:szCs w:val="24"/>
          <w:lang w:val="en-US" w:eastAsia="en-US" w:bidi="ar-SA"/>
        </w:rPr>
        <w:t>10-0128-000095-П</w:t>
      </w:r>
      <w:r>
        <w:rPr>
          <w:rFonts w:cs="Times New Roman" w:ascii="Times New Roman" w:hAnsi="Times New Roman"/>
          <w:b/>
          <w:bCs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sz w:val="10"/>
          <w:szCs w:val="10"/>
        </w:rPr>
      </w:r>
    </w:p>
    <w:tbl>
      <w:tblPr>
        <w:tblW w:w="21988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931"/>
        <w:gridCol w:w="900"/>
        <w:gridCol w:w="1275"/>
        <w:gridCol w:w="3142"/>
        <w:gridCol w:w="1275"/>
        <w:gridCol w:w="3894"/>
        <w:gridCol w:w="2789"/>
        <w:gridCol w:w="5239"/>
      </w:tblGrid>
      <w:tr>
        <w:trPr>
          <w:tblHeader w:val="true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отходов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 по ФККО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9" w:right="-121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 опасности вида отходов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Место накопления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211" w:right="-150"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места накопления на схеме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накопления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Виды обращения с отходами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Особые отметки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Лампы ртутные, ртутно-кварцевые, люминесцентные, утратившие потребительские свойства.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4 71 101 01 52 1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контейнер, оборудованный средствами нейтрализации от токсического воздействия*;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основанием, оборудованное средствами нейтрализации от токсического воздействия*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Каждая отработанная / бракованная РСЛ упаковывается в индивидуальную упаковку. Отсортированные по диаметру и длине РСЛ укладываются в контейнеры, коробки или ящики (транспортную тару). На таре указывается  общий вес РСЛ.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федеральному оператору по обращению с отходами I и II классов опасности.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обращения с отработанными и/или бракованными ртутьсодержащими лампами в филиале отражен в Инструкции по обращению с ртутьсодержащими лампами.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tLeast" w:line="20"/>
              <w:ind w:left="0" w:right="0" w:firstLine="709"/>
              <w:rPr/>
            </w:pPr>
            <w:r>
              <w:rPr>
                <w:sz w:val="24"/>
                <w:szCs w:val="24"/>
              </w:rPr>
              <w:t xml:space="preserve">Общие рекомендации по упаковке отработанных ртутьсодержащих ламп приведены в </w:t>
            </w:r>
            <w:r>
              <w:rPr>
                <w:color w:val="3D5AFE"/>
                <w:sz w:val="24"/>
                <w:szCs w:val="24"/>
              </w:rPr>
              <w:t>Приложении №6</w:t>
            </w:r>
            <w:r>
              <w:rPr>
                <w:sz w:val="24"/>
                <w:szCs w:val="24"/>
              </w:rPr>
              <w:t xml:space="preserve"> к настоящей инструкции.</w:t>
            </w:r>
          </w:p>
        </w:tc>
      </w:tr>
      <w:tr>
        <w:trPr>
          <w:trHeight w:val="94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Аккумуляторы стационарные свинцово-кислотные, утратившие потребительские свойства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4 82 211 11 53 2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оборудованный средствами нейтрализации от токсического воздействия**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Для накопления и транспортирования элементов АКБ силами СЭ изготавливается деревянный ящик.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Аккумуляторы, утратившие потребительские свойства, эксплуатируемые в дизель-генераторных установках, устанавливаются на деревянный паллет и закрепляются широким скотчем или (при наличии) оборачиваются пленкой и прикрепляются к паллету степлером. На паллете указывается общий вес.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федеральному оператору по обращению с отходами I и II классов опасности.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филиале установлены четыре аккумуляторные батареи типа 10БП1000 (Groe): АБ-1, АБ-2 в здании ГЭС.  АБ-3, АБ-4 на щитовом блоке ОРУ. Число элементов у             каждой из батарей 105 шт. Подключено к сети 104 элемента.</w:t>
            </w:r>
            <w:r>
              <w:rPr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производится замена элементов аккумуляторных батарей.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батарей и аккумуляторов подлежат накоплению отдельно от других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неповрежденных отходов батарей и аккумуляторов осуществляется раздельно от поврежденных отходов батарей и аккумуляторов, имеющих признаки течи, нарушения герметичности или целостности корпуса аккумулятора, батарей и аккумуляторов.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Контейнеры (емкости) для накопления поврежденных отходов батарей и аккумуляторов изготавливаются из материалов, устойчивых к воздействию кислот и щелочей.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накоплении отходов батарей и аккумуляторов запрещается подвергать отходы механическому воздействию, приводящему к нарушению целостности и герметичности корпусов батарей и аккумуляторов.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мере образования отходы передаются в ОМТО по акту приема передачи в присутствии эколога.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Общие рекомендации по упаковке аккумуляторных батарей приведены в </w:t>
            </w:r>
            <w:r>
              <w:rPr>
                <w:rFonts w:eastAsia="Times New Roman" w:cs="Times New Roman" w:ascii="Times New Roman" w:hAnsi="Times New Roman"/>
                <w:color w:val="3D5AFE"/>
                <w:sz w:val="24"/>
                <w:szCs w:val="24"/>
                <w:lang w:eastAsia="ru-RU"/>
              </w:rPr>
              <w:t xml:space="preserve">Приложении №6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 настоящей инструкции.</w:t>
            </w:r>
          </w:p>
        </w:tc>
      </w:tr>
      <w:tr>
        <w:trPr>
          <w:trHeight w:val="941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4 82 212 11 53 2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оборудованный средствами нейтрализации от токсического воздействия**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АКБ небольшого веса укладываются в транспортную тару (сухие неповрежденные картонные или фанерные ящики) весом не более 15 кг. На таре указывается наименование отходов и общий вес (нетто и брутто).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АКБ более 5 кг. устанавливаются на деревянный паллет и закрепляются широким скотчем или (при наличии) оборачиваются пленкой и прикрепляются к паллету степлером. На транспортной таре / паллете указывается общий вес.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федеральному оператору по обращению с отходами I и II классов опасности.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батарей и аккумуляторов подлежат накоплению отдельно от других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неповрежденных отходов батарей и аккумуляторов осуществляется раздельно от поврежденных отходов батарей и аккумуляторов, имеющих признаки течи, нарушения герметичности или целостности корпуса аккумулятора, батарей и аккумуляторов.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Контейнеры (емкости) для накопления поврежденных отходов батарей и аккумуляторов изготавливаются из материалов, устойчивых к воздействию кислот и щелочей.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накоплении отходов батарей и аккумуляторов запрещается подвергать отходы механическому воздействию, приводящему к нарушению целостности и герметичности корпусов батарей и аккумуляторов.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 мере образования отходы передаются в ОМТО по акту приема передачи в присутствии эколога.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Общие рекомендации по упаковке аккумуляторных батарей приведены в </w:t>
            </w:r>
            <w:r>
              <w:rPr>
                <w:rFonts w:eastAsia="Times New Roman" w:cs="Times New Roman" w:ascii="Times New Roman" w:hAnsi="Times New Roman"/>
                <w:color w:val="3D5AFE"/>
                <w:sz w:val="24"/>
                <w:szCs w:val="24"/>
                <w:lang w:eastAsia="ru-RU"/>
              </w:rPr>
              <w:t xml:space="preserve">Приложении №6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 настоящей инструкции.</w:t>
            </w:r>
          </w:p>
        </w:tc>
      </w:tr>
      <w:tr>
        <w:trPr>
          <w:trHeight w:val="157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Отходы минеральных масел технологических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4 06 180 01 31 3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ТМХ,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маш. зал, ёмкости №1 и №2,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склад №5 (централизованное накопление)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герметичных металлических маркированных ёмкостях, раздельно. По мере наполнения ёмкостей, масло переливается в металлические бочки и перемещается на склад №5.На бочках указывается наименование и дата образования отходов.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масла компрессорные, турбинные, трансформаторные, гидравлические.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масел передаются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масел", в течение 11 месяцев со дня образования отходов масел.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отходов масел ведется раздельно по видам отходов или группам видов отходов ФККО с учетом последующего способа утилизации. Не допускается смешивать отходы масел с маслами и иными аналогичными продуктами, содержащими галогенированные органические вещества, с пластичными смазками, органическими растворителями, жирами, лаками, красками и иными химическими продуктами, наличие которых исключает возможность утилизации отходов масел.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отходов масел должно осуществляться с соблюдением мер пожарной безопасности.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Накопление отходов масел осуществляется в закрытых емкостях. Нестационарные емкости размещаются на поддонах, исключающих утечку отходов масел.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Запрещается размещать емкости для накопления и хранения отходов масел вблизи нагреваемых поверхностей.</w:t>
            </w:r>
          </w:p>
        </w:tc>
      </w:tr>
      <w:tr>
        <w:trPr>
          <w:trHeight w:val="2148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Нефтяные промывочные жидкости, утратившие потребительские свойства, не загрязненные веществами 1-2 классов опасности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4 06 310 01 31 3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маш. зал (ёмкость №3),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склад №5 (централизованное накопление)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герметичных металлических маркированных ёмкостях.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мере наполнения ёмкостей, масло переливается в металлические бочки и перемещается на склад №5. На бочках указывается наименование и дата образования отходов.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14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4 06 329 01 31 3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(склад №5)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герметичных металлических бочках. На бочках указывается наименование и дата образования отходов.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 меди несортированные незагрязненные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4 62 110 99 20 3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Закрытое помещение с бетонным снованием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без тары.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имеющей: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ind w:left="118" w:right="0" w:hanging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лицензию на данный вид отходов;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ind w:left="118" w:right="0" w:hanging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лицензию по металлолому.</w:t>
            </w:r>
          </w:p>
          <w:p>
            <w:pPr>
              <w:pStyle w:val="Normal"/>
              <w:widowControl w:val="false"/>
              <w:numPr>
                <w:ilvl w:val="0"/>
              </w:numPr>
              <w:spacing w:before="0" w:after="0"/>
              <w:ind w:left="118" w:righ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При обращении с отходами меди необходимо руководствоваться требованиями, утвержденными распоряжением ПАО «РусГидро» от 18.12.2023 N580 (требования приведены в </w:t>
            </w:r>
            <w:r>
              <w:rPr>
                <w:rFonts w:eastAsia="Times New Roman" w:cs="Times New Roman" w:ascii="Times New Roman" w:hAnsi="Times New Roman"/>
                <w:color w:val="536DFE"/>
                <w:sz w:val="24"/>
                <w:szCs w:val="24"/>
                <w:lang w:eastAsia="ru-RU"/>
              </w:rPr>
              <w:t>Приложении №3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к настоящей инструкции) и Распоряжением филиала от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29.12.2023 ЗГЭС/84 -141р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«Об обращении с отходами металлолома и организации мест их временного складирования».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Индивидуальные противохимические пакеты для обезвреживания капельно-жидких отравляющих веществ,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4 91 196 11 53 3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Закрытое помещение с бетонным 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Раздельно, в картонных коробках.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Ликвидация старых СИЗ с помещения ГОиЧС, расположенного в теле плотины (ИПП 8А, АИ-II).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После передачи отходов специализированной организации, образование новой партии не ожидается.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Фильтры очистки масла турбин отработанные (содержание нефтепродуктов 15% и более)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9 18 311 11 52 3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влагонепроницаемая, огражденная сеткой площадка, под навесом, оборудованная порошковым огнетушителем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закрытой металлической таре.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Фильтры очистки масла накапливаются в металлических бочках, расположенных на огражденной бетонированной площадке в районе склада №5 на территории хоз. двора.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отходов, вес и дата образования отходов фиксируется в журнале у кладовщика ОМТО.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9 19 204 01 60 3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- машинный зал.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влагонепроницаемая, огражденная сеткой площадка, под навесом, оборудованная порошковым огнетушителем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закрытой металлической таре.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325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Обтирочный материал ежедневно с рабочих мест убирается в металлические емкости с плотно закрывающимися крышками, расположенные в местах производства работ. По мере наполнения емкостей представитель структурного подразделения, в котором образовались данные отходы, вывозит их в металлические бочки, расположенные в централизованном месте накопления  нефтесодержащих отходов </w:t>
            </w:r>
            <w:r>
              <w:rPr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  <w:shd w:fill="auto" w:val="clear"/>
              </w:rPr>
              <w:t>на хоздворе в районе склада №5  с фиксацией даты и веса в журнале у кладовщика ОМТО.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420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При выполнении работ подрядными организациями в машзале,  накопление обтирочного материала осуществляется в металлических контейнерах, расположенных на большой монтажной площадке.  По мере наполнения контейнеров, ОМТО организовывает взвешивание  (с фиксацией даты и веса в журнале) и передачу обтирочного материала специализированной организации на обезвреживание.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420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Для удобства погрузки обтирочного материала, металлические контейнеры оборудуются сменными биг-бэгами. По факту вывоза  промасленной ветоши с машзала, ОМТО осуществляет вкладку новых биг-бэгов в металлические контейнеры.</w:t>
            </w:r>
          </w:p>
        </w:tc>
      </w:tr>
      <w:tr>
        <w:trPr>
          <w:trHeight w:val="154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4 02 110 01 62 4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1541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Обувь кожаная рабочая, утратившая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4 03 101 00 52 4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1541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Силикагель отработанный, загрязненный нефтью и нефтепродуктами (содержание нефтепродуктов менее 15%)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4 42 503 12 29 4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влагонепроницаемая,  огражденная сеткой площадка, под навесом, оборудованная порошковым огнетушителем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металлических бочках.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3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накапливаются в металлических бочках, расположенных на огражденной бетонированной площадке в районе склада №5 территории хоз. двора.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Наименование, вес и дата образования отходов фиксируются в журнале у кладовщика ОМТО.</w:t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Тара из чёрных металлов, загрязнённой лакокрасочными материалами (содержание менее 5%)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4 68 112 02 51 4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Системный блок компьютера, утративший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4 81 201 01 52 4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Раздельно, без тары.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Передача отходов юридическим лицам и индивидуальным предпринимателям, осуществляющим на законных основаниях деятельность по сбору, транспортированию, обработке, утилизации, обезвреживанию и хранению видов отходов, отнесенных к группе однородных отходов "Отходы электронного оборудования", в течение 11 месяцев со дня образования отходов электронного оборудования.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Накопление отходов электронного оборудования осуществляются в местах накопления, представляющих собой помещения, оснащенные воздухообменной вентиляцией и средствами пожаротушения, исключающие доступ к таким отходам посторонних лиц. Запрещается в местах накопления отходов электронного оборудования, накопление отходов, обладающих пожароопасными свойствами.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При накоплении отходов электронного оборудования запрещается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u w:val="single"/>
                <w:lang w:eastAsia="ru-RU"/>
              </w:rPr>
              <w:t>подвергать отходы электронного оборудования механическому воздействию, приводящему к нарушению их целостности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!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соответствии с Распоряжением Правительства РФ от 25.07.2017 N 1589-р захоронение запрещено.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Передача отходов специализированным организациям осуществляется с места накопления.</w:t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Принтеры, сканеры, многофункциональные устройства (МФУ),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4 81 202 01 52 4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Раздельно, без тары.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/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Картриджи печатающих устройств с содержанием тонера менее 7% отработанные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4 81 203 02 52 4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картонных коробках. На коробке указывается наименование отходов и общий вес.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/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Клавиатура, манипулятор "мышь" с соединительными проводами,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4 81 204 01 52 4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картонных коробках. На коробке указывается наименование отходов и общий вес.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/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Мониторы компьютерные плазменные,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4 81 205 01 52 4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Раздельно, без тары.</w:t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/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Изделия электроустановочные в смеси,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4 82 351 21 52 4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картонных коробках. На коробке указывается наименование отходов и общий вес.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4 89 221 11 52 4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(склад ГОиЧС)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без тары.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</w:tc>
      </w:tr>
      <w:tr>
        <w:trPr>
          <w:trHeight w:val="1398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Противогазы в комплекте,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4 91 102 21 52 4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Закрытое помещение с бетонным 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коробках или мешках.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 самоспасатели СПИ-50, СПИ-М1.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</w:tc>
      </w:tr>
      <w:tr>
        <w:trPr>
          <w:trHeight w:val="154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Воды замасленные емкостей аварийного слива масла маслонаполненного электрооборудования (содержание нефте-продуктов менее 15%)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6 91 323 01 31 4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(склад №5)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металлических бочках на складе №5. На бочках указывается наименование и дата образования отходов.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Обращение с замасленными водами аналогично обращению с отходами минеральных масел.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63" w:right="-186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Песок фильтров очистки природной воды отработанный при водоподготовке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7 10 210 11 49 4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закрытой металлической таре, раздельно.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4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в металлических бочках в плотине на отм. 232 секция 29-30.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Передача отходов специализированной организации осуществляется с места накопления.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включает в себя </w:t>
            </w:r>
            <w:r>
              <w:rPr>
                <w:rFonts w:ascii="Times New Roman" w:hAnsi="Times New Roman"/>
                <w:sz w:val="24"/>
                <w:szCs w:val="24"/>
              </w:rPr>
              <w:t>сорбенты «МЖФ» и «АС» с песком.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7 33 100 01 72 4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закрытом металлическом контейнере для накопления ТКО.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региональному оператору по обращению с ТКО.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Мусор и смет производственных помещений малоопасный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7 33 210 01 72 4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-пыль (порошок) от шлифования черных металлов с содержанием металла 50% и более,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-шлак сварочный,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-абразивные круги отработанные,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-лом отработанных абразивных кругов,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-остатки и огарки стальных сварочных электродов.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(мусор) от строительных и ремонтных работ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8 90 000 01 72 4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влагонепроницаемым основанием.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u w:val="none"/>
              </w:rPr>
              <w:t>В смеси, 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Складирование отходов осуществляется в месте производства работ в соответствии с ППР,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 и локальным нормативными документами филиала и ПАО «РусГидро». По окончании работ, отходы вывозятся на ОРО. Ответственность по обращению с отходами прописывается в договорах.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Прочие несортированные древесные отходы из натуральной чистой древесины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3 05 291 91 20 5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-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52" w:before="0" w:after="0"/>
              <w:ind w:left="113" w:right="113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Отходы включают в себя обрезки, опилки, стружку натуральной чистой древесины.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Стружка черных металлов несортированная незагрязненная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3 61 212 03 22 5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 площадка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металлической бочке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 специализированной организации, имеющей лицензию по металлолому.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в металлической бочке отдельно от других металлических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 обращении со стружкой черных металлов необходимо руководствоваться требованиями, утвержденными распоряжением ПАО «РусГидро» от 18.12.2023 N580 (требования приведены в </w:t>
            </w:r>
            <w:r>
              <w:rPr>
                <w:rFonts w:cs="Times New Roman" w:ascii="Times New Roman" w:hAnsi="Times New Roman"/>
                <w:color w:val="536DFE"/>
                <w:sz w:val="24"/>
                <w:szCs w:val="24"/>
              </w:rPr>
              <w:t>Приложении №3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 настоящей инструкции) и Распоряжением филиала от 29.12.2023 ЗГЭС/84 -141р «Об обращении с отходами металлолома и организации мест их временного складирования».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Стружка латуни незагрязненная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3 61 212 06 22 5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металлической бочке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 специализированной организации, имеющей лицензию по металлолому.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в металлической бочке отдельно от других металлических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 обращении со стружкой латуни необходимо руководствоваться требованиями, утвержденными распоряжением ПАО «РусГидро» от 18.12.2023 N580 (требования приведены в </w:t>
            </w:r>
            <w:r>
              <w:rPr>
                <w:rFonts w:cs="Times New Roman" w:ascii="Times New Roman" w:hAnsi="Times New Roman"/>
                <w:color w:val="536DFE"/>
                <w:sz w:val="24"/>
                <w:szCs w:val="24"/>
              </w:rPr>
              <w:t>Приложении №3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 настоящему приказу) и Распоряжением филиала от 29.12.2023 ЗГЭС/84 -141р «Об обращении с отходами металлолома и организации мест их временного складирования».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бумаги и картона от канцелярской деятельности  и делопроизводства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4 05 122 02 60 5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 ОМТО организовывает перемещение шредированной бумаги в полиэтиленовых мешках и прочих бумажных отходов в картонных коробках с АПК-1-АПК-2, АПК-3, участка Котельная для накопления в металлический контейнер, расположенный на территории хоздвора с фиксацией количества отходов в журнале.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утилизацию.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Согласно Распоряжению Правительства РФ от 25.07.2017 N 1589-р, захоронение запрещено. Выбрасывать в офисные урны и контейнеры ТКО запрещено!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бумажных отходов, образующихся в процессе работы, осуществляется в кабинетах на рабочих местах в картонных коробках. Допускается накопление бумажных отходов, измельченных посредством работы шредера, в пакетах (при наличии). По мере наполнения коробок/пакетов  необходимо подавать заявку на вывоз бумажных отходов в ОМТО по тел. 4-08, 5-77, 3-67. Централизованное накопления бумажных отходов осуществляется в металлическом контейнере на хоздворе.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отходы, содержащие незагрязненные черные металлы в виде изделий, кусков, несортированные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4 61 010 01 20 5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 площадка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</w:tc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 специализированной организации, имеющей лицензию по металлолому.</w:t>
            </w:r>
          </w:p>
        </w:tc>
        <w:tc>
          <w:tcPr>
            <w:tcW w:w="5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 лом и отходы стальные.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 накапливается раздельно по видам и группам или маркам.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накоплении лом и отходы не должны смешиваться с неметаллическими материалами.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278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При обращении с ломом необходимо руководствоваться требованиями, утвержденными распоряжением ПАО «РусГидро» от 18.12.2023 N580 (требования приведены в </w:t>
            </w:r>
            <w:r>
              <w:rPr>
                <w:rFonts w:cs="Times New Roman" w:ascii="Times New Roman" w:hAnsi="Times New Roman"/>
                <w:color w:val="536DFE"/>
                <w:sz w:val="24"/>
                <w:szCs w:val="24"/>
              </w:rPr>
              <w:t>Приложении №3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 настоящему приказу) и Распоряжением филиала от 29.12.2023 ЗГЭС/84 -141р «Об обращении с отходами металлолома и организации мест их временного складирования».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 бронзы несортированные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4 62 130 99 20 5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</w:tc>
        <w:tc>
          <w:tcPr>
            <w:tcW w:w="2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 латуни несортированные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4 62 140 99 20 5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</w:tc>
        <w:tc>
          <w:tcPr>
            <w:tcW w:w="27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Лом и отходы алюминия несортированные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4 62 200 06 20 5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</w:tc>
        <w:tc>
          <w:tcPr>
            <w:tcW w:w="27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2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4 91 101 01 52 5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37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Уголь активированный, отработанный при подготовке воды, практически не 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7 10 212 52 20 5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Помещение с бетонным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Раздельно, в металлической таре.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42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Отходы накапливаются в металлической таре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в плотине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на отм. 232 секция 29-30.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Отходы включает в себя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  <w:t xml:space="preserve"> песок и уголь.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38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Отходы (шлам) при очистке сетей, колодцев дождевой (ливневой) канализации практически не 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7 21 800 02 39 5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, V классов опасности, подлежащих размещению.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7 33 382 02 20 5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влагонепроницаемым основанием.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Отходы включают в себя растительные отходы при кошении травы.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Складирование отходов осуществляется в месте производства работ в соответствии с ППР,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 и локальным нормативными документами филиала. По окончании работ, отходы вывозятся на ОРО. Ответственность по обращению с отходами прописывается в договорах.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Смёт с территории предприятия практически неопасный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7 33 390 02 71 5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-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>
          <w:trHeight w:val="265" w:hRule="atLeast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Пищевые отходы кухонь и организаций общественного питания несортированные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7 36 100 01 30 5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-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sz w:val="10"/>
          <w:szCs w:val="1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-  Комплект для демеркуризации и инструкция по его применению находится в помещении накопления отработанных РСЛ на отм. 220 здания ГЭС и на складе №2.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** -  Средства нейтрализации (сода / известь) пролитого электролита находится на складе №2.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Места накопления отходов:</w:t>
      </w:r>
    </w:p>
    <w:tbl>
      <w:tblPr>
        <w:tblW w:w="14969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8"/>
        <w:gridCol w:w="14000"/>
      </w:tblGrid>
      <w:tr>
        <w:trPr/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отработанных ртутьсодержащих отходов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отработанных аккумуляторов и аккумуляторных батарей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жидких нефтесодержащих отходов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цветных металлов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Накопление отходов средств индивидуальной защиты.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твердых нефтесодержащих отходов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отходов IV, V классов опасности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отходов оргтехники и электроустановочных изделий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отработанных огнетушителей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отходов водоподготовки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ТКО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черных металлов</w:t>
            </w:r>
          </w:p>
        </w:tc>
      </w:tr>
      <w:tr>
        <w:trPr/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Накопление бумажных отходов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16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Объект НВОС: Электрокотельная п. Светлый (код объекта: 10-0228-001717-П)</w:t>
      </w:r>
    </w:p>
    <w:tbl>
      <w:tblPr>
        <w:tblW w:w="21988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931"/>
        <w:gridCol w:w="900"/>
        <w:gridCol w:w="1275"/>
        <w:gridCol w:w="3142"/>
        <w:gridCol w:w="1275"/>
        <w:gridCol w:w="3894"/>
        <w:gridCol w:w="2789"/>
        <w:gridCol w:w="5239"/>
      </w:tblGrid>
      <w:tr>
        <w:trPr>
          <w:tblHeader w:val="true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отходов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 по ФККО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9" w:right="-121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 опасности вида отходов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Место накопления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211" w:right="-150" w:hanging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места накопления на схеме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накопления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Виды обращения с отходами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Особые отметки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Лампы ртутные, ртутно-кварцевые, люминесцентные, утратившие потребительские свойства.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4 71 101 01 52 1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контейнер, оборудованный средствами нейтрализации от токсического воздействия*, расположенный на территории хоздвора объекта НВОС ГЭС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Каждая отработанная / бракованная РСЛ упаковывается в индивидуальную упаковку. Отсортированные по диаметру и длине РСЛ укладываются в контейнеры, коробки или ящики (транспортную тару). На таре указывается  общий вес РСЛ.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в ОМТО.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обращения с отработанными и/или бракованными ртутьсодержащими лампами в филиале отражен в Инструкции по обращению с ртутьсодержащими лампами.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tLeast" w:line="20"/>
              <w:ind w:left="0" w:right="0" w:firstLine="709"/>
              <w:rPr/>
            </w:pPr>
            <w:r>
              <w:rPr>
                <w:sz w:val="24"/>
                <w:szCs w:val="24"/>
              </w:rPr>
              <w:t xml:space="preserve">Общие рекомендации по упаковке отработанных ртутьсодержащих ламп приведены в </w:t>
            </w:r>
            <w:r>
              <w:rPr>
                <w:color w:val="3D5AFE"/>
                <w:sz w:val="24"/>
                <w:szCs w:val="24"/>
              </w:rPr>
              <w:t>Приложении №6</w:t>
            </w:r>
            <w:r>
              <w:rPr>
                <w:sz w:val="24"/>
                <w:szCs w:val="24"/>
              </w:rPr>
              <w:t xml:space="preserve"> к настоящей инструкции.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Аккумуляторные батареи источников бесперебойного питания свинцово-кислотные, утратившие потребительские свойства, с электролитом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4 82 212 11 53 2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оборудованный средствами нейтрализации от токсического воздействия**, расположенный на территории хоздвора объекта НВОС ГЭС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АКБ небольшого веса укладываются в транспортную тару (сухие неповрежденные картонные или фанерные ящики) весом не более 15 кг. На таре указывается наименование отходов и общий вес (нетто и брутто).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в ОМТО.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накопливаются отдельно от других видов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 мере образования отходы передаются в ОМТО по акту приема передачи в присутствии эколога.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Общие рекомендации по упаковке аккумуляторных батарей приведены в </w:t>
            </w:r>
            <w:r>
              <w:rPr>
                <w:rFonts w:eastAsia="Times New Roman" w:cs="Times New Roman" w:ascii="Times New Roman" w:hAnsi="Times New Roman"/>
                <w:color w:val="3D5AFE"/>
                <w:sz w:val="24"/>
                <w:szCs w:val="24"/>
                <w:lang w:eastAsia="ru-RU"/>
              </w:rPr>
              <w:t xml:space="preserve">Приложении №6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 настоящей инструкции.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Смесь масел минеральных отработанных, не содержащих галогены, пригодная для утилизации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4 06 329 01 31 3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(склад №5)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Раздельно.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герметичных металлических бочках. На бочках указывается наименование и дата образования отходов.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в ОМТО.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9 19 204 01 60 3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- машинный зал.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Открытая влагонепроницаемая, огражденная сеткой площадка, под навесом, оборудованная порошковым огнетушителем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закрытой металлической таре.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в ОМТО.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325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Обтирочный материал ежедневно с рабочих мест убирается в металлический ящик с плотно закрывающейся крышкой, расположенный в меашзале участка «Котельная». По мере наполнения емкости представитель УК, вывозит обтирочный материал в металлические бочки, расположенные в централизованном месте накопления  нефтесодержащих отходов </w:t>
            </w:r>
            <w:r>
              <w:rPr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  <w:shd w:fill="auto" w:val="clear"/>
              </w:rPr>
              <w:t>на хоздворе в районе склада №5  с фиксацией даты и веса в журнале у кладовщика ОМТО.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1080" w:leader="none"/>
              </w:tabs>
              <w:spacing w:lineRule="auto" w:line="240"/>
              <w:ind w:left="0" w:right="0" w:firstLine="420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Транспортирование отходов осуществляется</w:t>
            </w:r>
            <w:r>
              <w:rPr>
                <w:spacing w:val="-7"/>
                <w:sz w:val="28"/>
                <w:szCs w:val="28"/>
                <w:shd w:fill="auto" w:val="clear"/>
              </w:rPr>
              <w:t xml:space="preserve">  </w:t>
            </w:r>
            <w:r>
              <w:rPr>
                <w:spacing w:val="-7"/>
                <w:sz w:val="24"/>
                <w:szCs w:val="24"/>
                <w:shd w:fill="auto" w:val="clear"/>
              </w:rPr>
              <w:t>транспортом АО «ТК РусГидро» (Л020-00113-19/00044509 от 17.06.2016 г.).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4 02 110 01 62 4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Обувь кожаная рабочая, утратившая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4 03 101 00 52 4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Тара из чёрных металлов, загрязнённой лакокрасочными материалами (содержание менее 5%)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4 68 112 02 51 4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4 89 221 11 52 4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Помещение с бетонным основанием (склад ГОиЧС), расположенный на территории хоздвора объекта НВОС ГЭС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без тары.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специализированной организации, имеющей Лицензию на данный вид отходов.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7 33 100 01 72 4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в закрытом металлическом контейнере для накопления ТКО.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региональному оператору по обращению с ТКО.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Мусор и смет производственных помещений малоопасный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7 33 210 01 72 4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-пыль (порошок) от шлифования черных металлов с содержанием металла 50% и более,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-шлак сварочный,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-абразивные круги отработанные,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-лом отработанных абразивных кругов,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-остатки и огарки стальных сварочных электродов,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-отходы резиноасбестовых изделий незагрязненны,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-отходы при очистке котлов от накипи.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(мусор) от строительных и ремонтных работ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8 90 000 01 72 4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влагонепроницаемым основанием.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Раздельно, навалом.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u w:val="none"/>
              </w:rPr>
              <w:t>В смеси, 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Складирование отходов осуществляется в месте производства работ в соответствии с ППР,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 и локальным нормативными документами филиала и ПАО «РусГидро». По окончании работ, отходы вывозятся на ОРО. Ответственность по обращению с отходами прописывается в договорах.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бумаги и картона от канцелярской деятельности  и делопроизводства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4 05 122 02 60 5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Закрывающийся, металлический ж.д. контейнер на хоздворе объекта НВОС ГЭС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Места накопления отходов на участке «Котельная» нет.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отходов осуществляется в металлическом контейнее, расположенном на территории хоздвора.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в ОМТО.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накапливаются отдельно от других видов отходов.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Согласно Распоряжению Правительства РФ от 25.07.2017 N 1589-р, захоронение запрещено. Выбрасывать в офисные урны и контейнеры ТКО запрещено!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 бумажных отходов, образующихся в процессе работы, осуществляется в кабинетах на рабочих местах в картонных коробках. Допускается накопление бумажных отходов, измельченных посредством работы шредера, в пакетах (при наличии). По мере наполнения коробки/пакеты передаются для накопления в ОМТО с фиксацией в журнале веса и отражением передавшего структурного подразделения.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Каски защитные пластмассовые, утратившие потребительские свойства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4 91 101 01 52 5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7 33 382 02 20 5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влагонепроницаемым основанием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Отходы включают в себя растительные отходы при кошении травы.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Смёт с территории предприятия практически неопасный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7 33 390 02 71 5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-8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с бетонным покрытием, огороженная с трех сторон, имеющая бортики и подъездной путь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 смеси,  в закрытом металлическом контейнере для накопления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опасности.</w:t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Накопление, передача на размещение на ОРО.</w:t>
            </w:r>
          </w:p>
        </w:tc>
        <w:tc>
          <w:tcPr>
            <w:tcW w:w="5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325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Отходы накапливаются совместно с другими видами отходов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V классов опасности, подлежащих размещению.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-  Комплект для демеркуризации и инструкция по его применению находится в помещении накопления отработанных РСЛ на отм. 220 здания ГЭС и на складе №2.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** -  Средства нейтрализации (сода / известь) пролитого электролита находится на складе №2.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orient="landscape" w:w="23811" w:h="16838"/>
      <w:pgMar w:left="1701" w:right="561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Symbol" w:hAnsi="Symbol" w:eastAsia="Calibri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eastAsia="Calibri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Style9">
    <w:name w:val="Основной шрифт абзаца"/>
    <w:qFormat/>
    <w:rPr/>
  </w:style>
  <w:style w:type="character" w:styleId="Style10">
    <w:name w:val="Основной текст Знак"/>
    <w:qFormat/>
    <w:rPr>
      <w:rFonts w:ascii="Times New Roman" w:hAnsi="Times New Roman" w:eastAsia="Times New Roman" w:cs="Times New Roman"/>
      <w:sz w:val="28"/>
    </w:rPr>
  </w:style>
  <w:style w:type="character" w:styleId="DefaultParagraphFont">
    <w:name w:val="Default Paragraph Font"/>
    <w:qFormat/>
    <w:rPr/>
  </w:style>
  <w:style w:type="character" w:styleId="IntenseEmphasis">
    <w:name w:val="Intense Emphasis"/>
    <w:basedOn w:val="DefaultParagraphFont"/>
    <w:qFormat/>
    <w:rPr>
      <w:i/>
      <w:iCs/>
      <w:color w:val="4F81BD" w:themeColor="accent1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tLeast" w:line="360" w:before="0" w:after="0"/>
      <w:ind w:left="0" w:right="0"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Заголовок таблицы"/>
    <w:basedOn w:val="Style13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5307</TotalTime>
  <Application>AlterOffice/3.4.0.9$Linux_X86_64 LibreOffice_project/b8daf9e823b1a5463a2f48435ddc2e8696e7d4fc</Application>
  <AppVersion>15.0000</AppVersion>
  <Pages>11</Pages>
  <Words>4651</Words>
  <Characters>30726</Characters>
  <CharactersWithSpaces>34784</CharactersWithSpaces>
  <Paragraphs>637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2023-06-21T13:59:00Z</dcterms:created>
  <dc:creator>Сербиенко Ксения Андреевна</dc:creator>
  <dc:description/>
  <dc:language>ru-RU</dc:language>
  <cp:lastModifiedBy>serbienkoka@corp.gidroogk.com</cp:lastModifiedBy>
  <dcterms:modified xsi:type="dcterms:W3CDTF">2026-05-13T10:36:03Z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